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附件2：</w:t>
      </w:r>
    </w:p>
    <w:p>
      <w:pPr>
        <w:spacing w:line="480" w:lineRule="exact"/>
        <w:jc w:val="center"/>
        <w:rPr>
          <w:b/>
          <w:bCs/>
          <w:sz w:val="36"/>
          <w:szCs w:val="36"/>
        </w:rPr>
      </w:pPr>
      <w:r>
        <w:rPr>
          <w:rFonts w:hint="eastAsia"/>
          <w:b/>
          <w:bCs/>
          <w:sz w:val="36"/>
          <w:szCs w:val="36"/>
        </w:rPr>
        <w:t>报 价 表</w:t>
      </w:r>
    </w:p>
    <w:p>
      <w:pPr>
        <w:spacing w:line="480" w:lineRule="exact"/>
        <w:jc w:val="left"/>
        <w:rPr>
          <w:rFonts w:ascii="仿宋_GB2312" w:hAnsi="宋体" w:eastAsia="仿宋_GB2312"/>
          <w:kern w:val="0"/>
          <w:sz w:val="26"/>
          <w:szCs w:val="26"/>
        </w:rPr>
      </w:pPr>
    </w:p>
    <w:p>
      <w:pPr>
        <w:spacing w:line="480" w:lineRule="exact"/>
        <w:jc w:val="left"/>
        <w:rPr>
          <w:rFonts w:hint="eastAsia" w:ascii="仿宋_GB2312" w:hAnsi="宋体" w:eastAsia="仿宋_GB2312"/>
          <w:kern w:val="0"/>
          <w:sz w:val="28"/>
          <w:szCs w:val="28"/>
        </w:rPr>
      </w:pPr>
      <w:r>
        <w:rPr>
          <w:rFonts w:hint="eastAsia" w:ascii="仿宋_GB2312" w:hAnsi="宋体" w:eastAsia="仿宋_GB2312"/>
          <w:kern w:val="0"/>
          <w:sz w:val="28"/>
          <w:szCs w:val="28"/>
        </w:rPr>
        <w:t>项目名称: 庙贝农场4队和庙贝农场5队耕地种植项目</w:t>
      </w:r>
    </w:p>
    <w:tbl>
      <w:tblPr>
        <w:tblStyle w:val="5"/>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5240"/>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565" w:type="dxa"/>
            <w:tcBorders>
              <w:bottom w:val="single" w:color="auto" w:sz="4" w:space="0"/>
            </w:tcBorders>
            <w:noWrap w:val="0"/>
            <w:vAlign w:val="center"/>
          </w:tcPr>
          <w:p>
            <w:pPr>
              <w:spacing w:line="560" w:lineRule="exact"/>
              <w:jc w:val="center"/>
              <w:rPr>
                <w:rFonts w:hint="eastAsia" w:ascii="仿宋_GB2312" w:hAnsi="宋体" w:eastAsia="仿宋_GB2312"/>
                <w:bCs/>
                <w:sz w:val="28"/>
                <w:szCs w:val="28"/>
              </w:rPr>
            </w:pPr>
            <w:r>
              <w:rPr>
                <w:rFonts w:hint="eastAsia" w:ascii="仿宋_GB2312" w:hAnsi="宋体" w:eastAsia="仿宋_GB2312"/>
                <w:bCs/>
                <w:sz w:val="28"/>
                <w:szCs w:val="28"/>
              </w:rPr>
              <w:t>报价项目</w:t>
            </w:r>
          </w:p>
        </w:tc>
        <w:tc>
          <w:tcPr>
            <w:tcW w:w="5240" w:type="dxa"/>
            <w:tcBorders>
              <w:bottom w:val="single" w:color="auto" w:sz="4" w:space="0"/>
            </w:tcBorders>
            <w:noWrap w:val="0"/>
            <w:vAlign w:val="center"/>
          </w:tcPr>
          <w:p>
            <w:pPr>
              <w:pStyle w:val="7"/>
              <w:widowControl w:val="0"/>
              <w:pBdr>
                <w:bottom w:val="none" w:color="auto" w:sz="0" w:space="0"/>
                <w:right w:val="none" w:color="auto" w:sz="0" w:space="0"/>
              </w:pBdr>
              <w:spacing w:before="0" w:beforeAutospacing="0" w:after="0" w:afterAutospacing="0" w:line="560" w:lineRule="exact"/>
              <w:rPr>
                <w:rFonts w:hint="eastAsia" w:ascii="仿宋_GB2312" w:eastAsia="仿宋_GB2312"/>
                <w:bCs/>
                <w:kern w:val="2"/>
                <w:sz w:val="28"/>
                <w:szCs w:val="28"/>
              </w:rPr>
            </w:pPr>
            <w:r>
              <w:rPr>
                <w:rFonts w:hint="eastAsia" w:ascii="仿宋_GB2312" w:eastAsia="仿宋_GB2312"/>
                <w:bCs/>
                <w:kern w:val="2"/>
                <w:sz w:val="28"/>
                <w:szCs w:val="28"/>
              </w:rPr>
              <w:t>金额（元）</w:t>
            </w:r>
          </w:p>
        </w:tc>
        <w:tc>
          <w:tcPr>
            <w:tcW w:w="2377" w:type="dxa"/>
            <w:tcBorders>
              <w:bottom w:val="single" w:color="auto" w:sz="4" w:space="0"/>
            </w:tcBorders>
            <w:noWrap w:val="0"/>
            <w:vAlign w:val="center"/>
          </w:tcPr>
          <w:p>
            <w:pPr>
              <w:spacing w:line="560" w:lineRule="exact"/>
              <w:ind w:firstLine="280" w:firstLineChars="100"/>
              <w:rPr>
                <w:rFonts w:hint="eastAsia" w:ascii="仿宋_GB2312" w:hAnsi="宋体" w:eastAsia="仿宋_GB2312"/>
                <w:bCs/>
                <w:sz w:val="28"/>
                <w:szCs w:val="28"/>
              </w:rPr>
            </w:pPr>
            <w:r>
              <w:rPr>
                <w:rFonts w:hint="eastAsia" w:ascii="仿宋_GB2312" w:hAnsi="宋体" w:eastAsia="仿宋_GB2312"/>
                <w:bCs/>
                <w:sz w:val="28"/>
                <w:szCs w:val="28"/>
              </w:rPr>
              <w:t>备注（下浮率）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6" w:hRule="atLeast"/>
          <w:jc w:val="center"/>
        </w:trPr>
        <w:tc>
          <w:tcPr>
            <w:tcW w:w="1565" w:type="dxa"/>
            <w:tcBorders>
              <w:bottom w:val="single" w:color="auto" w:sz="2" w:space="0"/>
            </w:tcBorders>
            <w:noWrap w:val="0"/>
            <w:vAlign w:val="center"/>
          </w:tcPr>
          <w:p>
            <w:pPr>
              <w:pStyle w:val="7"/>
              <w:widowControl w:val="0"/>
              <w:pBdr>
                <w:bottom w:val="none" w:color="auto" w:sz="0" w:space="0"/>
                <w:right w:val="none" w:color="auto" w:sz="0" w:space="0"/>
              </w:pBdr>
              <w:spacing w:before="0" w:beforeAutospacing="0" w:after="0" w:afterAutospacing="0" w:line="560" w:lineRule="exact"/>
              <w:rPr>
                <w:rFonts w:hint="eastAsia" w:ascii="仿宋_GB2312" w:eastAsia="仿宋_GB2312"/>
                <w:bCs/>
                <w:kern w:val="2"/>
                <w:sz w:val="28"/>
                <w:szCs w:val="28"/>
              </w:rPr>
            </w:pPr>
            <w:r>
              <w:rPr>
                <w:rFonts w:hint="eastAsia" w:ascii="仿宋_GB2312" w:eastAsia="仿宋_GB2312"/>
                <w:bCs/>
                <w:kern w:val="2"/>
                <w:sz w:val="28"/>
                <w:szCs w:val="28"/>
              </w:rPr>
              <w:t>总报价</w:t>
            </w:r>
          </w:p>
        </w:tc>
        <w:tc>
          <w:tcPr>
            <w:tcW w:w="5240" w:type="dxa"/>
            <w:tcBorders>
              <w:bottom w:val="single" w:color="auto" w:sz="2" w:space="0"/>
            </w:tcBorders>
            <w:noWrap w:val="0"/>
            <w:vAlign w:val="center"/>
          </w:tcPr>
          <w:p>
            <w:pPr>
              <w:spacing w:line="560" w:lineRule="exact"/>
              <w:rPr>
                <w:rFonts w:hint="eastAsia" w:ascii="仿宋_GB2312" w:hAnsi="宋体" w:eastAsia="仿宋_GB2312"/>
                <w:bCs/>
                <w:sz w:val="28"/>
                <w:szCs w:val="28"/>
              </w:rPr>
            </w:pPr>
            <w:r>
              <w:rPr>
                <w:rFonts w:hint="eastAsia" w:ascii="仿宋_GB2312" w:hAnsi="宋体" w:eastAsia="仿宋_GB2312"/>
                <w:bCs/>
                <w:sz w:val="28"/>
                <w:szCs w:val="28"/>
              </w:rPr>
              <w:t>（大写）人民币             元（￥           元）</w:t>
            </w:r>
          </w:p>
        </w:tc>
        <w:tc>
          <w:tcPr>
            <w:tcW w:w="2377" w:type="dxa"/>
            <w:tcBorders>
              <w:bottom w:val="single" w:color="auto" w:sz="2" w:space="0"/>
            </w:tcBorders>
            <w:noWrap w:val="0"/>
            <w:vAlign w:val="center"/>
          </w:tcPr>
          <w:p>
            <w:pPr>
              <w:pStyle w:val="7"/>
              <w:widowControl w:val="0"/>
              <w:pBdr>
                <w:bottom w:val="none" w:color="auto" w:sz="0" w:space="0"/>
                <w:right w:val="none" w:color="auto" w:sz="0" w:space="0"/>
              </w:pBdr>
              <w:spacing w:before="0" w:beforeAutospacing="0" w:after="0" w:afterAutospacing="0" w:line="560" w:lineRule="exact"/>
              <w:rPr>
                <w:rFonts w:hint="eastAsia" w:ascii="仿宋_GB2312" w:eastAsia="仿宋_GB2312"/>
                <w:bCs/>
                <w:kern w:val="2"/>
                <w:sz w:val="28"/>
                <w:szCs w:val="28"/>
              </w:rPr>
            </w:pPr>
            <w:r>
              <w:rPr>
                <w:rFonts w:hint="eastAsia" w:ascii="仿宋_GB2312" w:eastAsia="仿宋_GB2312"/>
                <w:bCs/>
                <w:kern w:val="2"/>
                <w:sz w:val="28"/>
                <w:szCs w:val="28"/>
              </w:rPr>
              <w:t>下浮率为：</w:t>
            </w:r>
            <w:r>
              <w:rPr>
                <w:rFonts w:hint="eastAsia" w:ascii="仿宋_GB2312" w:eastAsia="仿宋_GB2312"/>
                <w:bCs/>
                <w:kern w:val="2"/>
                <w:sz w:val="28"/>
                <w:szCs w:val="28"/>
                <w:u w:val="single"/>
              </w:rPr>
              <w:t xml:space="preserve">  </w:t>
            </w:r>
            <w:r>
              <w:rPr>
                <w:rFonts w:hint="eastAsia" w:ascii="仿宋_GB2312" w:eastAsia="仿宋_GB2312"/>
                <w:bCs/>
                <w:kern w:val="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9182" w:type="dxa"/>
            <w:gridSpan w:val="3"/>
            <w:tcBorders>
              <w:bottom w:val="single" w:color="auto" w:sz="4" w:space="0"/>
            </w:tcBorders>
            <w:noWrap w:val="0"/>
            <w:vAlign w:val="center"/>
          </w:tcPr>
          <w:p>
            <w:pPr>
              <w:spacing w:line="560" w:lineRule="exact"/>
              <w:rPr>
                <w:rFonts w:hint="eastAsia" w:ascii="仿宋_GB2312" w:hAnsi="宋体" w:eastAsia="仿宋_GB2312"/>
                <w:sz w:val="24"/>
              </w:rPr>
            </w:pPr>
            <w:r>
              <w:rPr>
                <w:rFonts w:hint="eastAsia" w:ascii="仿宋_GB2312" w:hAnsi="宋体" w:eastAsia="仿宋_GB2312"/>
                <w:sz w:val="24"/>
              </w:rPr>
              <w:t>备注：1.最终服务费结算按项目最高限价乘以（1-成交下浮率）执行。</w:t>
            </w:r>
          </w:p>
          <w:p>
            <w:pPr>
              <w:spacing w:line="560" w:lineRule="exact"/>
              <w:ind w:firstLine="720" w:firstLineChars="300"/>
              <w:rPr>
                <w:rFonts w:hint="eastAsia" w:ascii="仿宋_GB2312" w:hAnsi="宋体" w:eastAsia="仿宋_GB2312"/>
                <w:bCs/>
                <w:sz w:val="28"/>
                <w:szCs w:val="28"/>
              </w:rPr>
            </w:pPr>
            <w:r>
              <w:rPr>
                <w:rFonts w:hint="eastAsia" w:ascii="仿宋_GB2312" w:hAnsi="宋体" w:eastAsia="仿宋_GB2312"/>
                <w:sz w:val="24"/>
              </w:rPr>
              <w:t>2.成交下浮率=（1-成交金额÷预算金额）×100%。</w:t>
            </w:r>
          </w:p>
        </w:tc>
      </w:tr>
    </w:tbl>
    <w:p>
      <w:pPr>
        <w:pStyle w:val="8"/>
        <w:spacing w:line="56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注：</w:t>
      </w:r>
      <w:r>
        <w:rPr>
          <w:rFonts w:hint="eastAsia" w:ascii="仿宋_GB2312" w:hAnsi="宋体" w:eastAsia="仿宋_GB2312"/>
          <w:sz w:val="28"/>
          <w:szCs w:val="28"/>
        </w:rPr>
        <w:t>投标总价中必须包含项目前期调研费、交通差旅费、开荒费、复耕费、两造水稻种植及农产品代为销售等所需费用、全额含税发票、雇员费用、合同实施过程中的应预见和不可预见费用等完成合同规定责任和义务的一切费用及企业利润。</w:t>
      </w:r>
    </w:p>
    <w:p>
      <w:pPr>
        <w:pStyle w:val="8"/>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2.投标人必须自行考虑本项目在实施期间的一切可能产生的费用。在合同执行过程中，招标人将不再另行支付与本项目相关的任何费用（合同另有规定的除外）。</w:t>
      </w:r>
    </w:p>
    <w:p>
      <w:pPr>
        <w:pStyle w:val="8"/>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3.报价表述限于中文大写或阿拉伯数字小写，均已核定准确无误。所有价格均应予人民币报价，金额单位为元。</w:t>
      </w:r>
    </w:p>
    <w:p>
      <w:pPr>
        <w:pStyle w:val="8"/>
        <w:spacing w:line="560" w:lineRule="exact"/>
        <w:ind w:firstLine="482"/>
        <w:rPr>
          <w:rFonts w:ascii="仿宋_GB2312" w:hAnsi="宋体" w:eastAsia="仿宋_GB2312"/>
          <w:sz w:val="28"/>
          <w:szCs w:val="28"/>
        </w:rPr>
      </w:pPr>
    </w:p>
    <w:p>
      <w:pPr>
        <w:pStyle w:val="8"/>
        <w:spacing w:line="560" w:lineRule="exact"/>
        <w:ind w:firstLine="482"/>
        <w:rPr>
          <w:rFonts w:hint="eastAsia" w:ascii="仿宋_GB2312" w:hAnsi="宋体" w:eastAsia="仿宋_GB2312"/>
          <w:sz w:val="28"/>
          <w:szCs w:val="28"/>
        </w:rPr>
      </w:pPr>
    </w:p>
    <w:p>
      <w:pPr>
        <w:pStyle w:val="8"/>
        <w:spacing w:line="560" w:lineRule="exact"/>
        <w:jc w:val="left"/>
        <w:rPr>
          <w:rFonts w:hint="eastAsia" w:ascii="仿宋_GB2312" w:hAnsi="宋体" w:eastAsia="仿宋_GB2312"/>
          <w:sz w:val="28"/>
          <w:szCs w:val="28"/>
        </w:rPr>
      </w:pPr>
      <w:r>
        <w:rPr>
          <w:rFonts w:hint="eastAsia" w:ascii="仿宋_GB2312" w:hAnsi="宋体" w:eastAsia="仿宋_GB2312"/>
          <w:sz w:val="28"/>
          <w:szCs w:val="28"/>
        </w:rPr>
        <w:t>投标人名称（盖章）：</w:t>
      </w:r>
    </w:p>
    <w:p>
      <w:pPr>
        <w:pStyle w:val="8"/>
        <w:spacing w:line="560" w:lineRule="exact"/>
        <w:jc w:val="left"/>
        <w:rPr>
          <w:rFonts w:hint="eastAsia" w:ascii="仿宋_GB2312" w:hAnsi="宋体" w:eastAsia="仿宋_GB2312"/>
          <w:sz w:val="28"/>
          <w:szCs w:val="28"/>
        </w:rPr>
      </w:pPr>
      <w:r>
        <w:rPr>
          <w:rFonts w:hint="eastAsia" w:ascii="仿宋_GB2312" w:hAnsi="宋体" w:eastAsia="仿宋_GB2312"/>
          <w:sz w:val="28"/>
          <w:szCs w:val="28"/>
        </w:rPr>
        <w:t>法定代表人或授权代表（签字）：</w:t>
      </w:r>
    </w:p>
    <w:p>
      <w:pPr>
        <w:pStyle w:val="2"/>
        <w:rPr>
          <w:rFonts w:hint="default"/>
          <w:lang w:val="en-US" w:eastAsia="zh-CN"/>
        </w:rPr>
      </w:pPr>
      <w:r>
        <w:rPr>
          <w:rFonts w:hint="eastAsia" w:ascii="仿宋_GB2312" w:hAnsi="宋体" w:eastAsia="仿宋_GB2312"/>
          <w:sz w:val="28"/>
          <w:szCs w:val="28"/>
        </w:rPr>
        <w:t>日期：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7255E"/>
    <w:rsid w:val="00AD5F1B"/>
    <w:rsid w:val="00EB79EF"/>
    <w:rsid w:val="01414285"/>
    <w:rsid w:val="01584FA4"/>
    <w:rsid w:val="01F46642"/>
    <w:rsid w:val="02D852C1"/>
    <w:rsid w:val="03711EF1"/>
    <w:rsid w:val="047E4C2A"/>
    <w:rsid w:val="04AD0FF3"/>
    <w:rsid w:val="05222A84"/>
    <w:rsid w:val="053173A0"/>
    <w:rsid w:val="05950D30"/>
    <w:rsid w:val="05EB449A"/>
    <w:rsid w:val="068B65E1"/>
    <w:rsid w:val="06AC6B68"/>
    <w:rsid w:val="06F8623F"/>
    <w:rsid w:val="070A0616"/>
    <w:rsid w:val="075F106D"/>
    <w:rsid w:val="0765248E"/>
    <w:rsid w:val="081A2B0E"/>
    <w:rsid w:val="086D1E21"/>
    <w:rsid w:val="086E4FC1"/>
    <w:rsid w:val="08B04128"/>
    <w:rsid w:val="09C0112E"/>
    <w:rsid w:val="09CD7AAD"/>
    <w:rsid w:val="0A3A5D9B"/>
    <w:rsid w:val="0C8D2162"/>
    <w:rsid w:val="0D0B1856"/>
    <w:rsid w:val="0D121884"/>
    <w:rsid w:val="0E152C1C"/>
    <w:rsid w:val="0E6D5547"/>
    <w:rsid w:val="0E772528"/>
    <w:rsid w:val="0EBC7129"/>
    <w:rsid w:val="0EDC3CA9"/>
    <w:rsid w:val="0F2D380F"/>
    <w:rsid w:val="0F970889"/>
    <w:rsid w:val="0FBC1E43"/>
    <w:rsid w:val="116A62C8"/>
    <w:rsid w:val="11723719"/>
    <w:rsid w:val="11790B52"/>
    <w:rsid w:val="11B92F47"/>
    <w:rsid w:val="12C54F00"/>
    <w:rsid w:val="13193EB8"/>
    <w:rsid w:val="144C5C51"/>
    <w:rsid w:val="146605DD"/>
    <w:rsid w:val="14FC209D"/>
    <w:rsid w:val="150E011D"/>
    <w:rsid w:val="151B13A4"/>
    <w:rsid w:val="15482192"/>
    <w:rsid w:val="15B9204B"/>
    <w:rsid w:val="16327108"/>
    <w:rsid w:val="16B8264C"/>
    <w:rsid w:val="16C14C49"/>
    <w:rsid w:val="16C51702"/>
    <w:rsid w:val="16E96CC8"/>
    <w:rsid w:val="174B6624"/>
    <w:rsid w:val="17EE2CBF"/>
    <w:rsid w:val="18994028"/>
    <w:rsid w:val="18BA2AB5"/>
    <w:rsid w:val="18D91A6E"/>
    <w:rsid w:val="18FD08D6"/>
    <w:rsid w:val="19606C9D"/>
    <w:rsid w:val="19B46665"/>
    <w:rsid w:val="19BE04A9"/>
    <w:rsid w:val="19C20DF0"/>
    <w:rsid w:val="1A745021"/>
    <w:rsid w:val="1A8A5847"/>
    <w:rsid w:val="1B781276"/>
    <w:rsid w:val="1B801ED6"/>
    <w:rsid w:val="1BC17F72"/>
    <w:rsid w:val="1C35670E"/>
    <w:rsid w:val="1D546A2A"/>
    <w:rsid w:val="1DD45186"/>
    <w:rsid w:val="1E0C1183"/>
    <w:rsid w:val="1EF72FD9"/>
    <w:rsid w:val="1F3A59DD"/>
    <w:rsid w:val="1F412463"/>
    <w:rsid w:val="1F9C743E"/>
    <w:rsid w:val="20057CFE"/>
    <w:rsid w:val="200F0D3C"/>
    <w:rsid w:val="2056438C"/>
    <w:rsid w:val="20F62483"/>
    <w:rsid w:val="20FC646B"/>
    <w:rsid w:val="210248F6"/>
    <w:rsid w:val="21F3342F"/>
    <w:rsid w:val="22031EB2"/>
    <w:rsid w:val="22661283"/>
    <w:rsid w:val="22E161C1"/>
    <w:rsid w:val="241923C2"/>
    <w:rsid w:val="24B24AA7"/>
    <w:rsid w:val="24BD063F"/>
    <w:rsid w:val="26350FF2"/>
    <w:rsid w:val="26356EF0"/>
    <w:rsid w:val="26583FBB"/>
    <w:rsid w:val="2704320E"/>
    <w:rsid w:val="27D1130C"/>
    <w:rsid w:val="280651B3"/>
    <w:rsid w:val="28750CAB"/>
    <w:rsid w:val="28915697"/>
    <w:rsid w:val="28A43A86"/>
    <w:rsid w:val="28EF0C7C"/>
    <w:rsid w:val="29B060C4"/>
    <w:rsid w:val="29B87077"/>
    <w:rsid w:val="2AA761B8"/>
    <w:rsid w:val="2B6B058C"/>
    <w:rsid w:val="2B7E57A1"/>
    <w:rsid w:val="2BFB1992"/>
    <w:rsid w:val="2C304BF3"/>
    <w:rsid w:val="2C4E5780"/>
    <w:rsid w:val="2C70474E"/>
    <w:rsid w:val="2CEB2C75"/>
    <w:rsid w:val="2D23495F"/>
    <w:rsid w:val="2D813813"/>
    <w:rsid w:val="2D8362C2"/>
    <w:rsid w:val="2DCE3261"/>
    <w:rsid w:val="2DE2265C"/>
    <w:rsid w:val="2E07732C"/>
    <w:rsid w:val="2E5836E3"/>
    <w:rsid w:val="2E89536F"/>
    <w:rsid w:val="2E942591"/>
    <w:rsid w:val="2EC014B3"/>
    <w:rsid w:val="2F3C5D27"/>
    <w:rsid w:val="300A6720"/>
    <w:rsid w:val="30905C67"/>
    <w:rsid w:val="30A94924"/>
    <w:rsid w:val="30DC2524"/>
    <w:rsid w:val="31045146"/>
    <w:rsid w:val="312A6287"/>
    <w:rsid w:val="317A4FDD"/>
    <w:rsid w:val="31C478DE"/>
    <w:rsid w:val="323A0EB4"/>
    <w:rsid w:val="33E05996"/>
    <w:rsid w:val="342146E9"/>
    <w:rsid w:val="34515DDE"/>
    <w:rsid w:val="351C0AF0"/>
    <w:rsid w:val="353D5F37"/>
    <w:rsid w:val="3578763A"/>
    <w:rsid w:val="359F3835"/>
    <w:rsid w:val="36744BE1"/>
    <w:rsid w:val="36856D2F"/>
    <w:rsid w:val="36B33891"/>
    <w:rsid w:val="36DE2930"/>
    <w:rsid w:val="371B0689"/>
    <w:rsid w:val="37427353"/>
    <w:rsid w:val="37434F07"/>
    <w:rsid w:val="375442C7"/>
    <w:rsid w:val="376B6EFF"/>
    <w:rsid w:val="37CC7291"/>
    <w:rsid w:val="38076E9B"/>
    <w:rsid w:val="39563190"/>
    <w:rsid w:val="395D0871"/>
    <w:rsid w:val="399E793C"/>
    <w:rsid w:val="39C236BD"/>
    <w:rsid w:val="39F6670A"/>
    <w:rsid w:val="3A6E3E04"/>
    <w:rsid w:val="3ACF705A"/>
    <w:rsid w:val="3B990659"/>
    <w:rsid w:val="3C063DCD"/>
    <w:rsid w:val="3C250676"/>
    <w:rsid w:val="3CB36A2C"/>
    <w:rsid w:val="3CD91484"/>
    <w:rsid w:val="3CE66017"/>
    <w:rsid w:val="3D13095C"/>
    <w:rsid w:val="3DAB3B50"/>
    <w:rsid w:val="3E88100E"/>
    <w:rsid w:val="3ED71258"/>
    <w:rsid w:val="3F447C64"/>
    <w:rsid w:val="41130988"/>
    <w:rsid w:val="42096E0B"/>
    <w:rsid w:val="4214399A"/>
    <w:rsid w:val="421D51EA"/>
    <w:rsid w:val="42DD22D9"/>
    <w:rsid w:val="42ED7F9F"/>
    <w:rsid w:val="438A06C2"/>
    <w:rsid w:val="4395296B"/>
    <w:rsid w:val="44297A58"/>
    <w:rsid w:val="44953A69"/>
    <w:rsid w:val="457F136D"/>
    <w:rsid w:val="459F44D5"/>
    <w:rsid w:val="45CB0140"/>
    <w:rsid w:val="45FC60BB"/>
    <w:rsid w:val="466432AE"/>
    <w:rsid w:val="46EE76E6"/>
    <w:rsid w:val="47406ACF"/>
    <w:rsid w:val="47DF07F6"/>
    <w:rsid w:val="48435CF0"/>
    <w:rsid w:val="48B867AF"/>
    <w:rsid w:val="492E1EB3"/>
    <w:rsid w:val="497F2396"/>
    <w:rsid w:val="498736D9"/>
    <w:rsid w:val="4A792474"/>
    <w:rsid w:val="4A92415A"/>
    <w:rsid w:val="4BBA049A"/>
    <w:rsid w:val="4BE5488B"/>
    <w:rsid w:val="4CA77FBC"/>
    <w:rsid w:val="4D2C78E4"/>
    <w:rsid w:val="4E140EC6"/>
    <w:rsid w:val="4FEA7314"/>
    <w:rsid w:val="5099091E"/>
    <w:rsid w:val="50C251E5"/>
    <w:rsid w:val="50D53C51"/>
    <w:rsid w:val="521126C1"/>
    <w:rsid w:val="5214249E"/>
    <w:rsid w:val="52365EC8"/>
    <w:rsid w:val="528E5499"/>
    <w:rsid w:val="52C2100D"/>
    <w:rsid w:val="52E0487E"/>
    <w:rsid w:val="534F6EB2"/>
    <w:rsid w:val="535D243C"/>
    <w:rsid w:val="536B04D8"/>
    <w:rsid w:val="53AB3A2D"/>
    <w:rsid w:val="53E227C5"/>
    <w:rsid w:val="53E231A8"/>
    <w:rsid w:val="53F06164"/>
    <w:rsid w:val="54BE2C3D"/>
    <w:rsid w:val="556B0827"/>
    <w:rsid w:val="55F41038"/>
    <w:rsid w:val="560B30C3"/>
    <w:rsid w:val="562E2947"/>
    <w:rsid w:val="56482EAC"/>
    <w:rsid w:val="56557CB0"/>
    <w:rsid w:val="56781872"/>
    <w:rsid w:val="56A2592C"/>
    <w:rsid w:val="56EB0961"/>
    <w:rsid w:val="57BF68D0"/>
    <w:rsid w:val="585142F3"/>
    <w:rsid w:val="58826A9B"/>
    <w:rsid w:val="591B78A1"/>
    <w:rsid w:val="5990494B"/>
    <w:rsid w:val="59AB13A6"/>
    <w:rsid w:val="5BAB5667"/>
    <w:rsid w:val="5C7A07B8"/>
    <w:rsid w:val="5CC330E5"/>
    <w:rsid w:val="5D114B27"/>
    <w:rsid w:val="5D3867E7"/>
    <w:rsid w:val="5D6C65FF"/>
    <w:rsid w:val="5DDB26A8"/>
    <w:rsid w:val="5E484F72"/>
    <w:rsid w:val="5E8B50D3"/>
    <w:rsid w:val="5F5B555C"/>
    <w:rsid w:val="5F81494A"/>
    <w:rsid w:val="603A6FA1"/>
    <w:rsid w:val="606A1DF1"/>
    <w:rsid w:val="609B7391"/>
    <w:rsid w:val="6129534B"/>
    <w:rsid w:val="618F5B0F"/>
    <w:rsid w:val="61AF4234"/>
    <w:rsid w:val="62244553"/>
    <w:rsid w:val="622B71DB"/>
    <w:rsid w:val="628521AF"/>
    <w:rsid w:val="62E53612"/>
    <w:rsid w:val="63C24F8A"/>
    <w:rsid w:val="649607BA"/>
    <w:rsid w:val="649D2BA2"/>
    <w:rsid w:val="64BC5072"/>
    <w:rsid w:val="651D054C"/>
    <w:rsid w:val="653747E1"/>
    <w:rsid w:val="658C0D84"/>
    <w:rsid w:val="658F3AE3"/>
    <w:rsid w:val="67B257F9"/>
    <w:rsid w:val="6843694A"/>
    <w:rsid w:val="68705947"/>
    <w:rsid w:val="68A008C6"/>
    <w:rsid w:val="68AF4975"/>
    <w:rsid w:val="693014F5"/>
    <w:rsid w:val="6AEC3842"/>
    <w:rsid w:val="6B4D2A59"/>
    <w:rsid w:val="6C020C99"/>
    <w:rsid w:val="6C1E6174"/>
    <w:rsid w:val="6D904E34"/>
    <w:rsid w:val="6E1C0985"/>
    <w:rsid w:val="6E550374"/>
    <w:rsid w:val="6EC330FF"/>
    <w:rsid w:val="6ED46635"/>
    <w:rsid w:val="6F403EAD"/>
    <w:rsid w:val="6FC71E67"/>
    <w:rsid w:val="6FE25C8F"/>
    <w:rsid w:val="7010109F"/>
    <w:rsid w:val="70735D98"/>
    <w:rsid w:val="70A31252"/>
    <w:rsid w:val="70A90F9E"/>
    <w:rsid w:val="71AF0E22"/>
    <w:rsid w:val="72F324DF"/>
    <w:rsid w:val="7319175F"/>
    <w:rsid w:val="733D4FAC"/>
    <w:rsid w:val="73F21056"/>
    <w:rsid w:val="73F57BC6"/>
    <w:rsid w:val="73FA1A97"/>
    <w:rsid w:val="74294269"/>
    <w:rsid w:val="74BF12C5"/>
    <w:rsid w:val="750218A6"/>
    <w:rsid w:val="751D3673"/>
    <w:rsid w:val="75F74875"/>
    <w:rsid w:val="76703D72"/>
    <w:rsid w:val="76BC05E6"/>
    <w:rsid w:val="77277F33"/>
    <w:rsid w:val="775B3B85"/>
    <w:rsid w:val="77E00959"/>
    <w:rsid w:val="77E26AEB"/>
    <w:rsid w:val="77E900FF"/>
    <w:rsid w:val="780838CC"/>
    <w:rsid w:val="780C37B3"/>
    <w:rsid w:val="782C19B5"/>
    <w:rsid w:val="78457848"/>
    <w:rsid w:val="78975A7B"/>
    <w:rsid w:val="789B1593"/>
    <w:rsid w:val="789D18CE"/>
    <w:rsid w:val="7A9B7DA7"/>
    <w:rsid w:val="7BA63FE2"/>
    <w:rsid w:val="7BE653CB"/>
    <w:rsid w:val="7C172126"/>
    <w:rsid w:val="7CC81977"/>
    <w:rsid w:val="7DA2672D"/>
    <w:rsid w:val="7DCB2F0D"/>
    <w:rsid w:val="7E193389"/>
    <w:rsid w:val="7E274D20"/>
    <w:rsid w:val="7E3B7305"/>
    <w:rsid w:val="7EC33184"/>
    <w:rsid w:val="7F113EDC"/>
    <w:rsid w:val="7F7F3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pPr>
    <w:rPr>
      <w:kern w:val="0"/>
      <w:sz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2023-03-30T08:28:00Z</dcterms:created>
  <dc:creator>rx</dc:creator>
  <cp:lastModifiedBy>a</cp:lastModifiedBy>
  <dcterms:modified xsi:type="dcterms:W3CDTF">2024-03-18T03:01:00Z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7C893D572BF940499730577279ED4A36</vt:lpwstr>
  </property>
</Properties>
</file>